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105 IV 285</w:t>
      </w:r>
    </w:p>
    <w:p>
      <w:r>
        <w:t>Bundesgericht (BGE), 1979-11-02, FR</w:t>
      </w:r>
    </w:p>
    <w:p>
      <w:r>
        <w:rPr>
          <w:b/>
        </w:rPr>
        <w:t xml:space="preserve">Quelle: </w:t>
      </w:r>
      <w:r>
        <w:t>https://mcp.opencaselaw.ch/entscheid/bge_105 IV 285</w:t>
      </w:r>
    </w:p>
    <w:p>
      <w:r>
        <w:t>FR: ATF 105 IV 285</w:t>
      </w:r>
    </w:p>
    <w:p>
      <w:r>
        <w:t>IT: DTF 105 IV 285</w:t>
      </w:r>
    </w:p>
    <w:p>
      <w:pPr>
        <w:pStyle w:val="Heading2"/>
      </w:pPr>
      <w:r>
        <w:t>Regeste</w:t>
      </w:r>
    </w:p>
    <w:p>
      <w:r>
        <w:t>Regeste Art. 29 Abs. 2 OG. Ein Anwaltspraktikant kann, selbst wenn er die Strafverteidigung in eigener Verantwortung besorgt, nicht einem patentierten Anwalt gleichgestellt werden. Er kann daher eine Beschwerdeerklärung nicht rechtsgültig unterzeichnen.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P. a été condamné le 28 février 1979 par le Tribunal de police du district de Boudry à 300 fr. d'amende pour faux dans les titres. Le recours qu'il avait déposé devant la Cour de cassation pénale du canton de Neuchâtel a été rejeté le 6 juin 1979, la communication de la décision écrite intervenant le 20 juin suivant. BGE 105 IV 285 S. 286</w:t>
      </w:r>
    </w:p>
    <w:p>
      <w:r>
        <w:rPr>
          <w:b/>
        </w:rPr>
        <w:t>E. 2</w:t>
      </w:r>
    </w:p>
    <w:p>
      <w:r>
        <w:t>Pour être valable, le pourvoi en nullité doit non seulement être motivé, mais encore être déclaré régulièrement ( art. 272 al. 1 et 2 PPF ). Déclaration et mémoire ont formellement la même importance et obéissent aux mêmes conditions ( ATF 94 IV 96 ). C'est dire que la première comme le second doivent émaner de l'une des personnes désignées à l' art. 29 al. 2 OJ , si ce n'est du recourant lui-même ( ATF 78 IV 77 , ATF 84 II 405 ss, ATF 89 IV 180 consid. 1, ATF 94 IV 95 , ATF 97 II 95 , ATF 99 II 121 ). Il a été jugé que le stagiaire d'un avocat n'est pas assimilé à un avocat patenté ( ATF 78 IV 78 ; cf. ATF 99 II 121 ss notamment consid. 4); le fait que, dans certains cantons et notamment dans le canton de Neuchâtel, les stagiaires assument des défenses pénales sous leur propre responsabilité ne change rien à cela: les agents d'affaires représentent les parties, dans certaines causes civiles, sous leur propre responsabilité; ils ne sauraient pourtant agir devant le Tribunal fédéral dans une affaire civile en qualité de mandataire.</w:t>
      </w:r>
    </w:p>
    <w:p>
      <w:r>
        <w:rPr>
          <w:b/>
        </w:rPr>
        <w:t>E. 3</w:t>
      </w:r>
    </w:p>
    <w:p>
      <w:r>
        <w:t>En l'occurrence, le seul acte qui ait été adressé à la Cour de céans pour le compte de P. dans le délai de dix jours prévu à l' art. 272 al. 1 PPF est signé du stagiaire de l'avocat qui a par la suite assuré régulièrement la motivation du pourvoi. Celui-ci est dès lors irrecevable. En ce qui concerne les frais, ils doivent être mis à la charge de l'avocat qui a assuré la motivation et qui ne devait pas s'en remettre à son stagiaire pour la déclaration du pourvoi. Dispositiv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